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575" w:rsidRDefault="00AC4575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Dossier de presse</w:t>
      </w:r>
    </w:p>
    <w:p w:rsidR="00C13226" w:rsidRDefault="00C13226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Le </w:t>
      </w:r>
      <w:r w:rsidR="00867352">
        <w:rPr>
          <w:rFonts w:ascii="Calibri" w:hAnsi="Calibri" w:cs="Calibri"/>
          <w:b/>
        </w:rPr>
        <w:t>5 mars</w:t>
      </w:r>
      <w:r>
        <w:rPr>
          <w:rFonts w:ascii="Calibri" w:hAnsi="Calibri" w:cs="Calibri"/>
          <w:b/>
        </w:rPr>
        <w:t xml:space="preserve"> 2019</w:t>
      </w:r>
    </w:p>
    <w:p w:rsidR="002C128A" w:rsidRDefault="00D87F1A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RUBRIQUE : DECORER</w:t>
      </w:r>
      <w:r w:rsidR="00C13226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– ambiances éclairées : </w:t>
      </w:r>
      <w:r w:rsidR="00C13226" w:rsidRPr="00C13226">
        <w:rPr>
          <w:rFonts w:ascii="Calibri" w:hAnsi="Calibri" w:cs="Calibri"/>
          <w:b/>
        </w:rPr>
        <w:t>terrasse, balcon, jardin</w:t>
      </w:r>
    </w:p>
    <w:p w:rsidR="002C128A" w:rsidRDefault="002C128A">
      <w:pPr>
        <w:rPr>
          <w:rFonts w:ascii="Calibri" w:hAnsi="Calibri" w:cs="Calibri"/>
          <w:b/>
        </w:rPr>
      </w:pPr>
    </w:p>
    <w:p w:rsidR="005F11FC" w:rsidRPr="004B0E73" w:rsidRDefault="00867352" w:rsidP="004B0E73">
      <w:pPr>
        <w:jc w:val="center"/>
        <w:rPr>
          <w:rFonts w:ascii="Calibri" w:hAnsi="Calibri" w:cs="Calibri"/>
          <w:sz w:val="28"/>
        </w:rPr>
      </w:pPr>
      <w:r>
        <w:rPr>
          <w:rFonts w:ascii="Calibri" w:hAnsi="Calibri" w:cs="Calibri"/>
          <w:b/>
          <w:sz w:val="28"/>
        </w:rPr>
        <w:t>Des</w:t>
      </w:r>
      <w:r w:rsidR="002C1293" w:rsidRPr="004B0E73">
        <w:rPr>
          <w:rFonts w:ascii="Calibri" w:hAnsi="Calibri" w:cs="Calibri"/>
          <w:b/>
          <w:sz w:val="28"/>
        </w:rPr>
        <w:t xml:space="preserve"> nouveautés exclusives </w:t>
      </w:r>
      <w:r w:rsidR="00D03DC3" w:rsidRPr="004B0E73">
        <w:rPr>
          <w:rFonts w:ascii="Calibri" w:hAnsi="Calibri" w:cs="Calibri"/>
          <w:b/>
          <w:sz w:val="28"/>
        </w:rPr>
        <w:t>dans la gamme ambiance</w:t>
      </w:r>
      <w:r w:rsidR="002C1293" w:rsidRPr="004B0E73">
        <w:rPr>
          <w:rFonts w:ascii="Calibri" w:hAnsi="Calibri" w:cs="Calibri"/>
          <w:b/>
          <w:sz w:val="28"/>
        </w:rPr>
        <w:t>s</w:t>
      </w:r>
      <w:r w:rsidR="00D03DC3" w:rsidRPr="004B0E73">
        <w:rPr>
          <w:rFonts w:ascii="Calibri" w:hAnsi="Calibri" w:cs="Calibri"/>
          <w:b/>
          <w:sz w:val="28"/>
        </w:rPr>
        <w:t xml:space="preserve"> </w:t>
      </w:r>
      <w:r w:rsidR="002C1293" w:rsidRPr="004B0E73">
        <w:rPr>
          <w:rFonts w:ascii="Calibri" w:hAnsi="Calibri" w:cs="Calibri"/>
          <w:b/>
          <w:sz w:val="28"/>
        </w:rPr>
        <w:t>et lumières</w:t>
      </w:r>
    </w:p>
    <w:p w:rsidR="00C05CF8" w:rsidRPr="00320F00" w:rsidRDefault="00C05CF8">
      <w:pPr>
        <w:rPr>
          <w:rFonts w:ascii="Calibri" w:hAnsi="Calibri" w:cs="Calibri"/>
        </w:rPr>
      </w:pPr>
    </w:p>
    <w:p w:rsidR="00867352" w:rsidRDefault="00867352" w:rsidP="00C31345">
      <w:pPr>
        <w:autoSpaceDE w:val="0"/>
        <w:autoSpaceDN w:val="0"/>
        <w:adjustRightInd w:val="0"/>
        <w:jc w:val="both"/>
        <w:rPr>
          <w:rFonts w:ascii="Calibri" w:hAnsi="Calibri" w:cs="Calibri"/>
          <w:szCs w:val="22"/>
          <w:lang w:eastAsia="ja-JP"/>
        </w:rPr>
      </w:pPr>
      <w:r w:rsidRPr="00867352">
        <w:rPr>
          <w:rFonts w:ascii="Calibri" w:hAnsi="Calibri" w:cs="Calibri"/>
          <w:b/>
          <w:bCs/>
          <w:szCs w:val="22"/>
          <w:lang w:eastAsia="ja-JP"/>
        </w:rPr>
        <w:t>Nortene</w:t>
      </w:r>
      <w:r w:rsidRPr="00867352">
        <w:rPr>
          <w:rFonts w:ascii="Calibri" w:hAnsi="Calibri" w:cs="Calibri"/>
          <w:szCs w:val="22"/>
          <w:lang w:eastAsia="ja-JP"/>
        </w:rPr>
        <w:t xml:space="preserve">, spécialiste de l’aménagement et de la décoration des extérieurs, s’affirme comme l’un des acteurs </w:t>
      </w:r>
      <w:r w:rsidRPr="00867352">
        <w:rPr>
          <w:rFonts w:ascii="Calibri" w:hAnsi="Calibri" w:cs="Calibri"/>
          <w:b/>
          <w:bCs/>
          <w:szCs w:val="22"/>
          <w:lang w:eastAsia="ja-JP"/>
        </w:rPr>
        <w:t>majeurs sur le marché des ambiances éclairées</w:t>
      </w:r>
      <w:r w:rsidRPr="00867352">
        <w:rPr>
          <w:rFonts w:ascii="Calibri" w:hAnsi="Calibri" w:cs="Calibri"/>
          <w:szCs w:val="22"/>
          <w:lang w:eastAsia="ja-JP"/>
        </w:rPr>
        <w:t xml:space="preserve">, en renforçant sa gamme déjà composée de 50 références. La nouveauté cette année ? Des </w:t>
      </w:r>
      <w:r w:rsidRPr="00867352">
        <w:rPr>
          <w:rFonts w:ascii="Calibri" w:hAnsi="Calibri" w:cs="Calibri"/>
          <w:b/>
          <w:bCs/>
          <w:szCs w:val="22"/>
          <w:lang w:eastAsia="ja-JP"/>
        </w:rPr>
        <w:t>produits uniques</w:t>
      </w:r>
      <w:r w:rsidRPr="00867352">
        <w:rPr>
          <w:rFonts w:ascii="Calibri" w:hAnsi="Calibri" w:cs="Calibri"/>
          <w:szCs w:val="22"/>
          <w:lang w:eastAsia="ja-JP"/>
        </w:rPr>
        <w:t xml:space="preserve">, créés avec le concours d’un designer français, qui </w:t>
      </w:r>
      <w:r w:rsidRPr="00867352">
        <w:rPr>
          <w:rFonts w:ascii="Calibri" w:hAnsi="Calibri" w:cs="Calibri"/>
          <w:b/>
          <w:bCs/>
          <w:szCs w:val="22"/>
          <w:lang w:eastAsia="ja-JP"/>
        </w:rPr>
        <w:t>intègrent de nouvelles technologies</w:t>
      </w:r>
      <w:r w:rsidRPr="00867352">
        <w:rPr>
          <w:rFonts w:ascii="Calibri" w:hAnsi="Calibri" w:cs="Calibri"/>
          <w:szCs w:val="22"/>
          <w:lang w:eastAsia="ja-JP"/>
        </w:rPr>
        <w:t xml:space="preserve">. Avec ses 7 nouveautés, offrant un </w:t>
      </w:r>
      <w:r w:rsidRPr="00867352">
        <w:rPr>
          <w:rFonts w:ascii="Calibri" w:hAnsi="Calibri" w:cs="Calibri"/>
          <w:b/>
          <w:bCs/>
          <w:szCs w:val="22"/>
          <w:lang w:eastAsia="ja-JP"/>
        </w:rPr>
        <w:t>design 100% exclusif</w:t>
      </w:r>
      <w:r w:rsidRPr="00867352">
        <w:rPr>
          <w:rFonts w:ascii="Calibri" w:hAnsi="Calibri" w:cs="Calibri"/>
          <w:szCs w:val="22"/>
          <w:lang w:eastAsia="ja-JP"/>
        </w:rPr>
        <w:t xml:space="preserve">, </w:t>
      </w:r>
      <w:r w:rsidRPr="00867352">
        <w:rPr>
          <w:rFonts w:ascii="Calibri" w:hAnsi="Calibri" w:cs="Calibri"/>
          <w:b/>
          <w:bCs/>
          <w:szCs w:val="22"/>
          <w:lang w:eastAsia="ja-JP"/>
        </w:rPr>
        <w:t xml:space="preserve">Nortene </w:t>
      </w:r>
      <w:r w:rsidRPr="00867352">
        <w:rPr>
          <w:rFonts w:ascii="Calibri" w:hAnsi="Calibri" w:cs="Calibri"/>
          <w:szCs w:val="22"/>
          <w:lang w:eastAsia="ja-JP"/>
        </w:rPr>
        <w:t>répond ainsi à l’aspiration de chacun de pouvoir disposer d’une décoration personnalisée. Aujourd’hui, les extérieurs s’imaginent comme les intérieurs, et la lumière est l’un des éléments de distinction qui fait la différence.</w:t>
      </w:r>
    </w:p>
    <w:p w:rsidR="00867352" w:rsidRPr="00867352" w:rsidRDefault="00867352" w:rsidP="00C31345">
      <w:pPr>
        <w:autoSpaceDE w:val="0"/>
        <w:autoSpaceDN w:val="0"/>
        <w:adjustRightInd w:val="0"/>
        <w:jc w:val="both"/>
        <w:rPr>
          <w:rFonts w:ascii="Calibri" w:hAnsi="Calibri" w:cs="Calibri"/>
          <w:szCs w:val="22"/>
          <w:lang w:eastAsia="ja-JP"/>
        </w:rPr>
      </w:pPr>
    </w:p>
    <w:p w:rsidR="00867352" w:rsidRPr="00867352" w:rsidRDefault="00867352" w:rsidP="00C31345">
      <w:pPr>
        <w:autoSpaceDE w:val="0"/>
        <w:autoSpaceDN w:val="0"/>
        <w:adjustRightInd w:val="0"/>
        <w:jc w:val="both"/>
        <w:rPr>
          <w:rFonts w:ascii="Calibri" w:hAnsi="Calibri" w:cs="Calibri"/>
          <w:szCs w:val="22"/>
          <w:lang w:eastAsia="ja-JP"/>
        </w:rPr>
      </w:pPr>
      <w:r w:rsidRPr="00867352">
        <w:rPr>
          <w:rFonts w:ascii="Calibri" w:hAnsi="Calibri" w:cs="Calibri"/>
          <w:szCs w:val="22"/>
          <w:lang w:eastAsia="ja-JP"/>
        </w:rPr>
        <w:t xml:space="preserve">Les </w:t>
      </w:r>
      <w:r w:rsidRPr="00867352">
        <w:rPr>
          <w:rFonts w:ascii="Calibri" w:hAnsi="Calibri" w:cs="Calibri"/>
          <w:b/>
          <w:bCs/>
          <w:szCs w:val="22"/>
          <w:lang w:eastAsia="ja-JP"/>
        </w:rPr>
        <w:t xml:space="preserve">accessoires lumineux </w:t>
      </w:r>
      <w:r w:rsidRPr="00867352">
        <w:rPr>
          <w:rFonts w:ascii="Calibri" w:hAnsi="Calibri" w:cs="Calibri"/>
          <w:szCs w:val="22"/>
          <w:lang w:eastAsia="ja-JP"/>
        </w:rPr>
        <w:t>permettent d’</w:t>
      </w:r>
      <w:r w:rsidRPr="00867352">
        <w:rPr>
          <w:rFonts w:ascii="Calibri" w:hAnsi="Calibri" w:cs="Calibri"/>
          <w:b/>
          <w:bCs/>
          <w:szCs w:val="22"/>
          <w:lang w:eastAsia="ja-JP"/>
        </w:rPr>
        <w:t>embellir les extérieurs</w:t>
      </w:r>
      <w:r w:rsidRPr="00867352">
        <w:rPr>
          <w:rFonts w:ascii="Calibri" w:hAnsi="Calibri" w:cs="Calibri"/>
          <w:szCs w:val="22"/>
          <w:lang w:eastAsia="ja-JP"/>
        </w:rPr>
        <w:t xml:space="preserve">, de </w:t>
      </w:r>
      <w:r w:rsidRPr="00867352">
        <w:rPr>
          <w:rFonts w:ascii="Calibri" w:hAnsi="Calibri" w:cs="Calibri"/>
          <w:b/>
          <w:bCs/>
          <w:szCs w:val="22"/>
          <w:lang w:eastAsia="ja-JP"/>
        </w:rPr>
        <w:t xml:space="preserve">valoriser un arbre, un massif, une piscine, </w:t>
      </w:r>
      <w:r w:rsidRPr="00867352">
        <w:rPr>
          <w:rFonts w:ascii="Calibri" w:hAnsi="Calibri" w:cs="Calibri"/>
          <w:szCs w:val="22"/>
          <w:lang w:eastAsia="ja-JP"/>
        </w:rPr>
        <w:t xml:space="preserve">une descente d’escalier avec des jeux d’ombres portées... Ils sont également tout indiqués pour </w:t>
      </w:r>
      <w:r w:rsidRPr="00867352">
        <w:rPr>
          <w:rFonts w:ascii="Calibri" w:hAnsi="Calibri" w:cs="Calibri"/>
          <w:b/>
          <w:bCs/>
          <w:szCs w:val="22"/>
          <w:lang w:eastAsia="ja-JP"/>
        </w:rPr>
        <w:t>baliser des allées</w:t>
      </w:r>
      <w:r w:rsidRPr="00867352">
        <w:rPr>
          <w:rFonts w:ascii="Calibri" w:hAnsi="Calibri" w:cs="Calibri"/>
          <w:szCs w:val="22"/>
          <w:lang w:eastAsia="ja-JP"/>
        </w:rPr>
        <w:t xml:space="preserve">, annoncer avec élégance les contours d’un muret pour plus de sécurité. Ce sont aussi des signes d’accueil et de bienvenue, parfaits pour </w:t>
      </w:r>
      <w:r w:rsidRPr="00867352">
        <w:rPr>
          <w:rFonts w:ascii="Calibri" w:hAnsi="Calibri" w:cs="Calibri"/>
          <w:b/>
          <w:bCs/>
          <w:szCs w:val="22"/>
          <w:lang w:eastAsia="ja-JP"/>
        </w:rPr>
        <w:t xml:space="preserve">prolonger les longues soirées d’été </w:t>
      </w:r>
      <w:r w:rsidRPr="00867352">
        <w:rPr>
          <w:rFonts w:ascii="Calibri" w:hAnsi="Calibri" w:cs="Calibri"/>
          <w:szCs w:val="22"/>
          <w:lang w:eastAsia="ja-JP"/>
        </w:rPr>
        <w:t>à la lueur des lanternes...</w:t>
      </w:r>
    </w:p>
    <w:p w:rsidR="00867352" w:rsidRPr="00867352" w:rsidRDefault="00867352" w:rsidP="00C31345">
      <w:pPr>
        <w:jc w:val="both"/>
        <w:rPr>
          <w:rFonts w:ascii="Calibri" w:hAnsi="Calibri" w:cs="Calibri"/>
        </w:rPr>
      </w:pPr>
    </w:p>
    <w:p w:rsidR="00537E7D" w:rsidRPr="00867352" w:rsidRDefault="00537E7D" w:rsidP="00C31345">
      <w:pPr>
        <w:jc w:val="both"/>
        <w:rPr>
          <w:rFonts w:ascii="Calibri" w:hAnsi="Calibri" w:cs="Calibri"/>
        </w:rPr>
      </w:pPr>
    </w:p>
    <w:p w:rsidR="002C128A" w:rsidRPr="00867352" w:rsidRDefault="002C128A" w:rsidP="00C31345">
      <w:pPr>
        <w:jc w:val="both"/>
        <w:rPr>
          <w:rFonts w:ascii="Calibri" w:hAnsi="Calibri" w:cs="Calibri"/>
        </w:rPr>
      </w:pPr>
    </w:p>
    <w:p w:rsidR="00537E7D" w:rsidRPr="00867352" w:rsidRDefault="00537E7D" w:rsidP="00C31345">
      <w:pPr>
        <w:jc w:val="both"/>
        <w:rPr>
          <w:rFonts w:ascii="Calibri" w:hAnsi="Calibri" w:cs="Calibri"/>
          <w:b/>
          <w:sz w:val="28"/>
        </w:rPr>
      </w:pPr>
      <w:r w:rsidRPr="00867352">
        <w:rPr>
          <w:rFonts w:ascii="Calibri" w:hAnsi="Calibri" w:cs="Calibri"/>
          <w:b/>
          <w:sz w:val="28"/>
        </w:rPr>
        <w:t>Le balisage solaire à planter</w:t>
      </w:r>
    </w:p>
    <w:p w:rsidR="00867352" w:rsidRPr="00320F00" w:rsidRDefault="00867352" w:rsidP="00C31345">
      <w:pPr>
        <w:jc w:val="both"/>
        <w:rPr>
          <w:rFonts w:ascii="Calibri" w:hAnsi="Calibri" w:cs="Calibri"/>
          <w:b/>
        </w:rPr>
      </w:pPr>
    </w:p>
    <w:p w:rsidR="00282786" w:rsidRPr="00867352" w:rsidRDefault="00320F00" w:rsidP="00C31345">
      <w:pPr>
        <w:jc w:val="both"/>
        <w:rPr>
          <w:rFonts w:ascii="Calibri" w:hAnsi="Calibri" w:cs="Calibri"/>
          <w:b/>
          <w:color w:val="365F91" w:themeColor="accent1" w:themeShade="BF"/>
        </w:rPr>
      </w:pPr>
      <w:r w:rsidRPr="00867352">
        <w:rPr>
          <w:rFonts w:ascii="Calibri" w:hAnsi="Calibri" w:cs="Calibri"/>
          <w:b/>
          <w:color w:val="365F91" w:themeColor="accent1" w:themeShade="BF"/>
        </w:rPr>
        <w:t>AMARYS</w:t>
      </w:r>
      <w:r w:rsidR="0022644A" w:rsidRPr="00867352">
        <w:rPr>
          <w:rFonts w:ascii="Calibri" w:hAnsi="Calibri" w:cs="Calibri"/>
          <w:b/>
          <w:color w:val="365F91" w:themeColor="accent1" w:themeShade="BF"/>
        </w:rPr>
        <w:t xml:space="preserve"> </w:t>
      </w:r>
    </w:p>
    <w:p w:rsidR="00867352" w:rsidRDefault="00867352" w:rsidP="00C31345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r w:rsidRPr="00867352">
        <w:rPr>
          <w:rFonts w:ascii="Calibri" w:hAnsi="Calibri" w:cs="Calibri"/>
          <w:b/>
          <w:bCs/>
          <w:lang w:eastAsia="ja-JP"/>
        </w:rPr>
        <w:t xml:space="preserve">Une balise solaire coup de </w:t>
      </w:r>
      <w:proofErr w:type="spellStart"/>
      <w:r w:rsidRPr="00867352">
        <w:rPr>
          <w:rFonts w:ascii="Calibri" w:hAnsi="Calibri" w:cs="Calibri"/>
          <w:b/>
          <w:bCs/>
          <w:lang w:eastAsia="ja-JP"/>
        </w:rPr>
        <w:t>coeur</w:t>
      </w:r>
      <w:proofErr w:type="spellEnd"/>
      <w:r w:rsidRPr="00867352">
        <w:rPr>
          <w:rFonts w:ascii="Calibri" w:hAnsi="Calibri" w:cs="Calibri"/>
          <w:b/>
          <w:bCs/>
          <w:lang w:eastAsia="ja-JP"/>
        </w:rPr>
        <w:t xml:space="preserve"> </w:t>
      </w:r>
      <w:r w:rsidRPr="00867352">
        <w:rPr>
          <w:rFonts w:ascii="Calibri" w:hAnsi="Calibri" w:cs="Calibri"/>
          <w:lang w:eastAsia="ja-JP"/>
        </w:rPr>
        <w:t>à planter, parfaite pour offrir aux massifs fleuris une luminosité autonome ou composer un accueillant chemin lumineux. Avec elle, tout devient facile et accessible.</w:t>
      </w:r>
    </w:p>
    <w:p w:rsidR="00867352" w:rsidRPr="00867352" w:rsidRDefault="00867352" w:rsidP="00C31345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</w:p>
    <w:p w:rsidR="00320F00" w:rsidRPr="00867352" w:rsidRDefault="00320F00" w:rsidP="00C31345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  <w:r w:rsidRPr="00867352">
        <w:rPr>
          <w:rFonts w:ascii="Calibri" w:hAnsi="Calibri" w:cs="Calibri"/>
          <w:b/>
          <w:bCs/>
        </w:rPr>
        <w:t>Caractéristiques</w:t>
      </w:r>
    </w:p>
    <w:p w:rsidR="00320F00" w:rsidRPr="002C128A" w:rsidRDefault="00320F00" w:rsidP="00C31345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 w:rsidRPr="002C128A">
        <w:rPr>
          <w:rFonts w:ascii="Calibri" w:eastAsia="Times New Roman" w:hAnsi="Calibri" w:cs="Calibri"/>
        </w:rPr>
        <w:t>Dimensions</w:t>
      </w:r>
      <w:r w:rsidR="002C128A">
        <w:rPr>
          <w:rFonts w:ascii="Calibri" w:eastAsia="Times New Roman" w:hAnsi="Calibri" w:cs="Calibri"/>
        </w:rPr>
        <w:t xml:space="preserve"> : Ø </w:t>
      </w:r>
      <w:r w:rsidRPr="002C128A">
        <w:rPr>
          <w:rFonts w:ascii="Calibri" w:eastAsia="Times New Roman" w:hAnsi="Calibri" w:cs="Calibri"/>
        </w:rPr>
        <w:t>6 x h 33 cm.</w:t>
      </w:r>
    </w:p>
    <w:p w:rsidR="00320F00" w:rsidRPr="002C128A" w:rsidRDefault="00320F00" w:rsidP="00C31345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 w:rsidRPr="002C128A">
        <w:rPr>
          <w:rFonts w:ascii="Calibri" w:eastAsia="Times New Roman" w:hAnsi="Calibri" w:cs="Calibri"/>
        </w:rPr>
        <w:t>Matière acrylique et métal.</w:t>
      </w:r>
    </w:p>
    <w:p w:rsidR="00320F00" w:rsidRPr="002C128A" w:rsidRDefault="00320F00" w:rsidP="00C31345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 w:rsidRPr="002C128A">
        <w:rPr>
          <w:rFonts w:ascii="Calibri" w:eastAsia="Times New Roman" w:hAnsi="Calibri" w:cs="Calibri"/>
        </w:rPr>
        <w:t>1 LED SMD de couleur blanche</w:t>
      </w:r>
      <w:r w:rsidR="00867352">
        <w:rPr>
          <w:rFonts w:ascii="Calibri" w:eastAsia="Times New Roman" w:hAnsi="Calibri" w:cs="Calibri"/>
        </w:rPr>
        <w:t xml:space="preserve"> – 6 lumens</w:t>
      </w:r>
      <w:r w:rsidRPr="002C128A">
        <w:rPr>
          <w:rFonts w:ascii="Calibri" w:eastAsia="Times New Roman" w:hAnsi="Calibri" w:cs="Calibri"/>
        </w:rPr>
        <w:t>.</w:t>
      </w:r>
    </w:p>
    <w:p w:rsidR="00320F00" w:rsidRPr="002C128A" w:rsidRDefault="00320F00" w:rsidP="00C31345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 w:rsidRPr="002C128A">
        <w:rPr>
          <w:rFonts w:ascii="Calibri" w:eastAsia="Times New Roman" w:hAnsi="Calibri" w:cs="Calibri"/>
        </w:rPr>
        <w:t xml:space="preserve">Panneau solaire </w:t>
      </w:r>
      <w:proofErr w:type="spellStart"/>
      <w:r w:rsidRPr="002C128A">
        <w:rPr>
          <w:rFonts w:ascii="Calibri" w:eastAsia="Times New Roman" w:hAnsi="Calibri" w:cs="Calibri"/>
        </w:rPr>
        <w:t>polycrystal</w:t>
      </w:r>
      <w:proofErr w:type="spellEnd"/>
      <w:r w:rsidRPr="002C128A">
        <w:rPr>
          <w:rFonts w:ascii="Calibri" w:eastAsia="Times New Roman" w:hAnsi="Calibri" w:cs="Calibri"/>
        </w:rPr>
        <w:t xml:space="preserve"> 2 V – 120ma.</w:t>
      </w:r>
    </w:p>
    <w:p w:rsidR="00320F00" w:rsidRPr="002C128A" w:rsidRDefault="00320F00" w:rsidP="00C31345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 w:rsidRPr="002C128A">
        <w:rPr>
          <w:rFonts w:ascii="Calibri" w:eastAsia="Times New Roman" w:hAnsi="Calibri" w:cs="Calibri"/>
        </w:rPr>
        <w:t xml:space="preserve">Batterie rechargeable 1,2V - 600 </w:t>
      </w:r>
      <w:proofErr w:type="spellStart"/>
      <w:r w:rsidRPr="002C128A">
        <w:rPr>
          <w:rFonts w:ascii="Calibri" w:eastAsia="Times New Roman" w:hAnsi="Calibri" w:cs="Calibri"/>
        </w:rPr>
        <w:t>mAh</w:t>
      </w:r>
      <w:proofErr w:type="spellEnd"/>
      <w:r w:rsidRPr="002C128A">
        <w:rPr>
          <w:rFonts w:ascii="Calibri" w:eastAsia="Times New Roman" w:hAnsi="Calibri" w:cs="Calibri"/>
        </w:rPr>
        <w:t xml:space="preserve"> AAA Ni-MH.</w:t>
      </w:r>
    </w:p>
    <w:p w:rsidR="00320F00" w:rsidRPr="002C128A" w:rsidRDefault="00320F00" w:rsidP="00C31345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 w:rsidRPr="002C128A">
        <w:rPr>
          <w:rFonts w:ascii="Calibri" w:eastAsia="Times New Roman" w:hAnsi="Calibri" w:cs="Calibri"/>
        </w:rPr>
        <w:t>Interrupteur on/off.</w:t>
      </w:r>
    </w:p>
    <w:p w:rsidR="00320F00" w:rsidRPr="002C128A" w:rsidRDefault="00867352" w:rsidP="00C31345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Autonomie de</w:t>
      </w:r>
      <w:r w:rsidR="00320F00" w:rsidRPr="002C128A">
        <w:rPr>
          <w:rFonts w:ascii="Calibri" w:eastAsia="Times New Roman" w:hAnsi="Calibri" w:cs="Calibri"/>
        </w:rPr>
        <w:t xml:space="preserve"> 5 à 6 heures </w:t>
      </w:r>
      <w:r>
        <w:rPr>
          <w:rFonts w:ascii="Calibri" w:eastAsia="Times New Roman" w:hAnsi="Calibri" w:cs="Calibri"/>
        </w:rPr>
        <w:t>(</w:t>
      </w:r>
      <w:r w:rsidR="00320F00" w:rsidRPr="002C128A">
        <w:rPr>
          <w:rFonts w:ascii="Calibri" w:eastAsia="Times New Roman" w:hAnsi="Calibri" w:cs="Calibri"/>
        </w:rPr>
        <w:t>à pleine charge</w:t>
      </w:r>
      <w:r>
        <w:rPr>
          <w:rFonts w:ascii="Calibri" w:eastAsia="Times New Roman" w:hAnsi="Calibri" w:cs="Calibri"/>
        </w:rPr>
        <w:t>)</w:t>
      </w:r>
      <w:r w:rsidR="00320F00" w:rsidRPr="002C128A">
        <w:rPr>
          <w:rFonts w:ascii="Calibri" w:eastAsia="Times New Roman" w:hAnsi="Calibri" w:cs="Calibri"/>
        </w:rPr>
        <w:t>.</w:t>
      </w:r>
    </w:p>
    <w:p w:rsidR="00320F00" w:rsidRDefault="00320F00" w:rsidP="00C31345">
      <w:pPr>
        <w:jc w:val="both"/>
        <w:rPr>
          <w:rFonts w:ascii="Calibri" w:hAnsi="Calibri" w:cs="Calibri"/>
          <w:b/>
          <w:bCs/>
        </w:rPr>
      </w:pPr>
      <w:r w:rsidRPr="002C128A">
        <w:rPr>
          <w:rFonts w:ascii="Calibri" w:hAnsi="Calibri" w:cs="Calibri"/>
          <w:b/>
          <w:bCs/>
        </w:rPr>
        <w:t xml:space="preserve">Prix public généralement constaté : </w:t>
      </w:r>
      <w:r w:rsidR="00FB2882">
        <w:rPr>
          <w:rFonts w:ascii="Calibri" w:hAnsi="Calibri" w:cs="Calibri"/>
          <w:b/>
          <w:bCs/>
        </w:rPr>
        <w:t>5,90</w:t>
      </w:r>
      <w:r w:rsidRPr="002C128A">
        <w:rPr>
          <w:rFonts w:ascii="Calibri" w:hAnsi="Calibri" w:cs="Calibri"/>
          <w:b/>
          <w:bCs/>
        </w:rPr>
        <w:t xml:space="preserve"> euros</w:t>
      </w:r>
    </w:p>
    <w:p w:rsidR="00867352" w:rsidRPr="002C128A" w:rsidRDefault="00867352" w:rsidP="00C31345">
      <w:pPr>
        <w:jc w:val="both"/>
        <w:rPr>
          <w:rFonts w:ascii="Calibri" w:hAnsi="Calibri" w:cs="Calibri"/>
          <w:b/>
          <w:bCs/>
        </w:rPr>
      </w:pPr>
    </w:p>
    <w:p w:rsidR="008A2ACD" w:rsidRPr="002C128A" w:rsidRDefault="008A2ACD" w:rsidP="00C31345">
      <w:pPr>
        <w:jc w:val="both"/>
        <w:rPr>
          <w:rFonts w:ascii="Calibri" w:hAnsi="Calibri" w:cs="Calibri"/>
        </w:rPr>
      </w:pPr>
    </w:p>
    <w:p w:rsidR="008A2ACD" w:rsidRPr="00867352" w:rsidRDefault="002C128A" w:rsidP="00C31345">
      <w:pPr>
        <w:jc w:val="both"/>
        <w:rPr>
          <w:rFonts w:asciiTheme="majorHAnsi" w:hAnsiTheme="majorHAnsi" w:cstheme="majorHAnsi"/>
          <w:color w:val="365F91" w:themeColor="accent1" w:themeShade="BF"/>
        </w:rPr>
      </w:pPr>
      <w:r w:rsidRPr="00867352">
        <w:rPr>
          <w:rFonts w:asciiTheme="majorHAnsi" w:hAnsiTheme="majorHAnsi" w:cstheme="majorHAnsi"/>
          <w:b/>
          <w:color w:val="365F91" w:themeColor="accent1" w:themeShade="BF"/>
        </w:rPr>
        <w:t>SENSEIS</w:t>
      </w:r>
      <w:r w:rsidR="00537E7D" w:rsidRPr="00867352">
        <w:rPr>
          <w:rFonts w:asciiTheme="majorHAnsi" w:hAnsiTheme="majorHAnsi" w:cstheme="majorHAnsi"/>
          <w:b/>
          <w:color w:val="365F91" w:themeColor="accent1" w:themeShade="BF"/>
        </w:rPr>
        <w:t xml:space="preserve"> </w:t>
      </w:r>
      <w:r w:rsidR="0022644A" w:rsidRPr="00867352">
        <w:rPr>
          <w:rFonts w:asciiTheme="majorHAnsi" w:hAnsiTheme="majorHAnsi" w:cstheme="majorHAnsi"/>
          <w:color w:val="365F91" w:themeColor="accent1" w:themeShade="BF"/>
        </w:rPr>
        <w:t xml:space="preserve"> </w:t>
      </w:r>
    </w:p>
    <w:p w:rsidR="00867352" w:rsidRPr="00867352" w:rsidRDefault="00867352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  <w:r w:rsidRPr="00867352">
        <w:rPr>
          <w:rFonts w:asciiTheme="majorHAnsi" w:hAnsiTheme="majorHAnsi" w:cstheme="majorHAnsi"/>
          <w:b/>
          <w:bCs/>
          <w:lang w:eastAsia="ja-JP"/>
        </w:rPr>
        <w:t xml:space="preserve">Cette balise </w:t>
      </w:r>
      <w:proofErr w:type="gramStart"/>
      <w:r w:rsidRPr="00867352">
        <w:rPr>
          <w:rFonts w:asciiTheme="majorHAnsi" w:hAnsiTheme="majorHAnsi" w:cstheme="majorHAnsi"/>
          <w:b/>
          <w:bCs/>
          <w:lang w:eastAsia="ja-JP"/>
        </w:rPr>
        <w:t>au</w:t>
      </w:r>
      <w:proofErr w:type="gramEnd"/>
      <w:r w:rsidRPr="00867352">
        <w:rPr>
          <w:rFonts w:asciiTheme="majorHAnsi" w:hAnsiTheme="majorHAnsi" w:cstheme="majorHAnsi"/>
          <w:b/>
          <w:bCs/>
          <w:lang w:eastAsia="ja-JP"/>
        </w:rPr>
        <w:t xml:space="preserve"> design bi-matière</w:t>
      </w:r>
      <w:r w:rsidRPr="00867352">
        <w:rPr>
          <w:rFonts w:asciiTheme="majorHAnsi" w:hAnsiTheme="majorHAnsi" w:cstheme="majorHAnsi"/>
          <w:lang w:eastAsia="ja-JP"/>
        </w:rPr>
        <w:t xml:space="preserve">, moderne et épuré, est dotée d’un capteur de présence intelligent. À placer dans une allée, sur la terrasse. Allumée en permanence dès la nuit tombée à faible intensité, sa </w:t>
      </w:r>
      <w:proofErr w:type="spellStart"/>
      <w:r w:rsidRPr="00867352">
        <w:rPr>
          <w:rFonts w:asciiTheme="majorHAnsi" w:hAnsiTheme="majorHAnsi" w:cstheme="majorHAnsi"/>
          <w:b/>
          <w:bCs/>
          <w:lang w:eastAsia="ja-JP"/>
        </w:rPr>
        <w:t>led</w:t>
      </w:r>
      <w:proofErr w:type="spellEnd"/>
      <w:r w:rsidRPr="00867352">
        <w:rPr>
          <w:rFonts w:asciiTheme="majorHAnsi" w:hAnsiTheme="majorHAnsi" w:cstheme="majorHAnsi"/>
          <w:b/>
          <w:bCs/>
          <w:lang w:eastAsia="ja-JP"/>
        </w:rPr>
        <w:t xml:space="preserve"> s’intensifie jusqu’à 20 lumens </w:t>
      </w:r>
      <w:r w:rsidRPr="00867352">
        <w:rPr>
          <w:rFonts w:asciiTheme="majorHAnsi" w:hAnsiTheme="majorHAnsi" w:cstheme="majorHAnsi"/>
          <w:lang w:eastAsia="ja-JP"/>
        </w:rPr>
        <w:t xml:space="preserve">durant 30 secondes </w:t>
      </w:r>
      <w:r w:rsidRPr="00867352">
        <w:rPr>
          <w:rFonts w:asciiTheme="majorHAnsi" w:hAnsiTheme="majorHAnsi" w:cstheme="majorHAnsi"/>
          <w:b/>
          <w:bCs/>
          <w:lang w:eastAsia="ja-JP"/>
        </w:rPr>
        <w:t>dès qu’une présence est détectée</w:t>
      </w:r>
      <w:r w:rsidRPr="00867352">
        <w:rPr>
          <w:rFonts w:asciiTheme="majorHAnsi" w:hAnsiTheme="majorHAnsi" w:cstheme="majorHAnsi"/>
          <w:lang w:eastAsia="ja-JP"/>
        </w:rPr>
        <w:t>.</w:t>
      </w:r>
    </w:p>
    <w:p w:rsidR="00867352" w:rsidRPr="00867352" w:rsidRDefault="00867352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</w:p>
    <w:p w:rsidR="002C128A" w:rsidRPr="00867352" w:rsidRDefault="002C128A" w:rsidP="00C31345">
      <w:pPr>
        <w:jc w:val="both"/>
        <w:rPr>
          <w:rFonts w:asciiTheme="majorHAnsi" w:hAnsiTheme="majorHAnsi" w:cstheme="majorHAnsi"/>
          <w:b/>
          <w:bCs/>
        </w:rPr>
      </w:pPr>
      <w:r w:rsidRPr="00867352">
        <w:rPr>
          <w:rFonts w:asciiTheme="majorHAnsi" w:hAnsiTheme="majorHAnsi" w:cstheme="majorHAnsi"/>
          <w:b/>
          <w:bCs/>
        </w:rPr>
        <w:t>Caractéristiques</w:t>
      </w:r>
    </w:p>
    <w:p w:rsidR="002C128A" w:rsidRPr="00867352" w:rsidRDefault="002C128A" w:rsidP="00C31345">
      <w:pPr>
        <w:numPr>
          <w:ilvl w:val="0"/>
          <w:numId w:val="5"/>
        </w:numPr>
        <w:jc w:val="both"/>
        <w:rPr>
          <w:rFonts w:asciiTheme="majorHAnsi" w:eastAsia="Times New Roman" w:hAnsiTheme="majorHAnsi" w:cstheme="majorHAnsi"/>
        </w:rPr>
      </w:pPr>
      <w:r w:rsidRPr="00867352">
        <w:rPr>
          <w:rFonts w:asciiTheme="majorHAnsi" w:eastAsia="Times New Roman" w:hAnsiTheme="majorHAnsi" w:cstheme="majorHAnsi"/>
        </w:rPr>
        <w:t>Dimensions : Ø 12 cm x h 36 cm.</w:t>
      </w:r>
    </w:p>
    <w:p w:rsidR="00867352" w:rsidRPr="00867352" w:rsidRDefault="00867352" w:rsidP="00C31345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  <w:r w:rsidRPr="00867352">
        <w:rPr>
          <w:rFonts w:asciiTheme="majorHAnsi" w:hAnsiTheme="majorHAnsi" w:cstheme="majorHAnsi"/>
          <w:lang w:eastAsia="ja-JP"/>
        </w:rPr>
        <w:t>Cône en résine légèrement opaque, innovant diffuseur intérieur spiralé, piètement en inox.</w:t>
      </w:r>
    </w:p>
    <w:p w:rsidR="002C128A" w:rsidRPr="00867352" w:rsidRDefault="002C128A" w:rsidP="00C31345">
      <w:pPr>
        <w:numPr>
          <w:ilvl w:val="0"/>
          <w:numId w:val="5"/>
        </w:numPr>
        <w:jc w:val="both"/>
        <w:rPr>
          <w:rFonts w:asciiTheme="majorHAnsi" w:eastAsia="Times New Roman" w:hAnsiTheme="majorHAnsi" w:cstheme="majorHAnsi"/>
        </w:rPr>
      </w:pPr>
      <w:r w:rsidRPr="00867352">
        <w:rPr>
          <w:rFonts w:asciiTheme="majorHAnsi" w:eastAsia="Times New Roman" w:hAnsiTheme="majorHAnsi" w:cstheme="majorHAnsi"/>
        </w:rPr>
        <w:lastRenderedPageBreak/>
        <w:t>1 LED SMD</w:t>
      </w:r>
      <w:r w:rsidR="00867352" w:rsidRPr="00867352">
        <w:rPr>
          <w:rFonts w:asciiTheme="majorHAnsi" w:eastAsia="Times New Roman" w:hAnsiTheme="majorHAnsi" w:cstheme="majorHAnsi"/>
        </w:rPr>
        <w:t xml:space="preserve"> jusqu’à 20 lumens</w:t>
      </w:r>
      <w:r w:rsidRPr="00867352">
        <w:rPr>
          <w:rFonts w:asciiTheme="majorHAnsi" w:eastAsia="Times New Roman" w:hAnsiTheme="majorHAnsi" w:cstheme="majorHAnsi"/>
        </w:rPr>
        <w:t>.</w:t>
      </w:r>
    </w:p>
    <w:p w:rsidR="002C128A" w:rsidRPr="00867352" w:rsidRDefault="002C128A" w:rsidP="00C31345">
      <w:pPr>
        <w:numPr>
          <w:ilvl w:val="0"/>
          <w:numId w:val="5"/>
        </w:numPr>
        <w:jc w:val="both"/>
        <w:rPr>
          <w:rFonts w:asciiTheme="majorHAnsi" w:eastAsia="Times New Roman" w:hAnsiTheme="majorHAnsi" w:cstheme="majorHAnsi"/>
        </w:rPr>
      </w:pPr>
      <w:r w:rsidRPr="00867352">
        <w:rPr>
          <w:rFonts w:asciiTheme="majorHAnsi" w:eastAsia="Times New Roman" w:hAnsiTheme="majorHAnsi" w:cstheme="majorHAnsi"/>
        </w:rPr>
        <w:t xml:space="preserve">Panneau solaire </w:t>
      </w:r>
      <w:proofErr w:type="spellStart"/>
      <w:r w:rsidRPr="00867352">
        <w:rPr>
          <w:rFonts w:asciiTheme="majorHAnsi" w:eastAsia="Times New Roman" w:hAnsiTheme="majorHAnsi" w:cstheme="majorHAnsi"/>
        </w:rPr>
        <w:t>polycrystal</w:t>
      </w:r>
      <w:proofErr w:type="spellEnd"/>
      <w:r w:rsidRPr="00867352">
        <w:rPr>
          <w:rFonts w:asciiTheme="majorHAnsi" w:eastAsia="Times New Roman" w:hAnsiTheme="majorHAnsi" w:cstheme="majorHAnsi"/>
        </w:rPr>
        <w:t xml:space="preserve"> 2V 160mA.</w:t>
      </w:r>
    </w:p>
    <w:p w:rsidR="002C128A" w:rsidRPr="00867352" w:rsidRDefault="002C128A" w:rsidP="00C31345">
      <w:pPr>
        <w:numPr>
          <w:ilvl w:val="0"/>
          <w:numId w:val="5"/>
        </w:numPr>
        <w:jc w:val="both"/>
        <w:rPr>
          <w:rFonts w:asciiTheme="majorHAnsi" w:eastAsia="Times New Roman" w:hAnsiTheme="majorHAnsi" w:cstheme="majorHAnsi"/>
        </w:rPr>
      </w:pPr>
      <w:r w:rsidRPr="00867352">
        <w:rPr>
          <w:rFonts w:asciiTheme="majorHAnsi" w:eastAsia="Times New Roman" w:hAnsiTheme="majorHAnsi" w:cstheme="majorHAnsi"/>
        </w:rPr>
        <w:t>Batterie rechargeable 3.7V 600mA Lithium.</w:t>
      </w:r>
    </w:p>
    <w:p w:rsidR="002C128A" w:rsidRPr="00867352" w:rsidRDefault="002C128A" w:rsidP="00C31345">
      <w:pPr>
        <w:numPr>
          <w:ilvl w:val="0"/>
          <w:numId w:val="5"/>
        </w:numPr>
        <w:jc w:val="both"/>
        <w:rPr>
          <w:rFonts w:asciiTheme="majorHAnsi" w:eastAsia="Times New Roman" w:hAnsiTheme="majorHAnsi" w:cstheme="majorHAnsi"/>
        </w:rPr>
      </w:pPr>
      <w:r w:rsidRPr="00867352">
        <w:rPr>
          <w:rFonts w:asciiTheme="majorHAnsi" w:eastAsia="Times New Roman" w:hAnsiTheme="majorHAnsi" w:cstheme="majorHAnsi"/>
        </w:rPr>
        <w:t>2 kits de fixation fournis, pour une utilisation sur tous sols.</w:t>
      </w:r>
    </w:p>
    <w:p w:rsidR="00867352" w:rsidRPr="00867352" w:rsidRDefault="00867352" w:rsidP="00C31345">
      <w:pPr>
        <w:numPr>
          <w:ilvl w:val="0"/>
          <w:numId w:val="5"/>
        </w:numPr>
        <w:jc w:val="both"/>
        <w:rPr>
          <w:rFonts w:asciiTheme="majorHAnsi" w:eastAsia="Times New Roman" w:hAnsiTheme="majorHAnsi" w:cstheme="majorHAnsi"/>
        </w:rPr>
      </w:pPr>
      <w:r w:rsidRPr="00867352">
        <w:rPr>
          <w:rFonts w:asciiTheme="majorHAnsi" w:eastAsia="Times New Roman" w:hAnsiTheme="majorHAnsi" w:cstheme="majorHAnsi"/>
        </w:rPr>
        <w:t>Autonomie de 5 à 10 heures (à pleine charge).</w:t>
      </w:r>
    </w:p>
    <w:p w:rsidR="002C128A" w:rsidRPr="00867352" w:rsidRDefault="002C128A" w:rsidP="00C31345">
      <w:pPr>
        <w:jc w:val="both"/>
        <w:rPr>
          <w:rFonts w:asciiTheme="majorHAnsi" w:hAnsiTheme="majorHAnsi" w:cstheme="majorHAnsi"/>
          <w:b/>
          <w:bCs/>
        </w:rPr>
      </w:pPr>
      <w:r w:rsidRPr="00867352">
        <w:rPr>
          <w:rFonts w:asciiTheme="majorHAnsi" w:hAnsiTheme="majorHAnsi" w:cstheme="majorHAnsi"/>
          <w:b/>
          <w:bCs/>
        </w:rPr>
        <w:t>Prix pu</w:t>
      </w:r>
      <w:r w:rsidR="00867352" w:rsidRPr="00867352">
        <w:rPr>
          <w:rFonts w:asciiTheme="majorHAnsi" w:hAnsiTheme="majorHAnsi" w:cstheme="majorHAnsi"/>
          <w:b/>
          <w:bCs/>
        </w:rPr>
        <w:t>blic généralement constaté : 23,</w:t>
      </w:r>
      <w:r w:rsidRPr="00867352">
        <w:rPr>
          <w:rFonts w:asciiTheme="majorHAnsi" w:hAnsiTheme="majorHAnsi" w:cstheme="majorHAnsi"/>
          <w:b/>
          <w:bCs/>
        </w:rPr>
        <w:t>90</w:t>
      </w:r>
      <w:r w:rsidR="00867352" w:rsidRPr="00867352">
        <w:rPr>
          <w:rFonts w:asciiTheme="majorHAnsi" w:hAnsiTheme="majorHAnsi" w:cstheme="majorHAnsi"/>
          <w:b/>
          <w:bCs/>
        </w:rPr>
        <w:t xml:space="preserve"> euros</w:t>
      </w:r>
    </w:p>
    <w:p w:rsidR="002C128A" w:rsidRDefault="002C128A" w:rsidP="00C31345">
      <w:pPr>
        <w:jc w:val="both"/>
        <w:rPr>
          <w:rFonts w:ascii="Calibri" w:eastAsia="Times New Roman" w:hAnsi="Calibri" w:cs="Calibri"/>
        </w:rPr>
      </w:pPr>
    </w:p>
    <w:p w:rsidR="00867352" w:rsidRDefault="00867352" w:rsidP="00C31345">
      <w:pPr>
        <w:jc w:val="both"/>
        <w:rPr>
          <w:rFonts w:ascii="Calibri" w:eastAsia="Times New Roman" w:hAnsi="Calibri" w:cs="Calibri"/>
        </w:rPr>
      </w:pPr>
    </w:p>
    <w:p w:rsidR="00537E7D" w:rsidRPr="009E2993" w:rsidRDefault="002C128A" w:rsidP="00C31345">
      <w:pPr>
        <w:jc w:val="both"/>
        <w:rPr>
          <w:rFonts w:asciiTheme="majorHAnsi" w:hAnsiTheme="majorHAnsi" w:cstheme="majorHAnsi"/>
          <w:b/>
          <w:color w:val="365F91" w:themeColor="accent1" w:themeShade="BF"/>
        </w:rPr>
      </w:pPr>
      <w:r w:rsidRPr="009E2993">
        <w:rPr>
          <w:rFonts w:asciiTheme="majorHAnsi" w:hAnsiTheme="majorHAnsi" w:cstheme="majorHAnsi"/>
          <w:b/>
          <w:color w:val="365F91" w:themeColor="accent1" w:themeShade="BF"/>
        </w:rPr>
        <w:t xml:space="preserve">KALEIS </w:t>
      </w:r>
    </w:p>
    <w:p w:rsidR="00867352" w:rsidRDefault="00867352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bCs/>
          <w:lang w:eastAsia="ja-JP"/>
        </w:rPr>
      </w:pPr>
      <w:r w:rsidRPr="00867352">
        <w:rPr>
          <w:rFonts w:asciiTheme="majorHAnsi" w:hAnsiTheme="majorHAnsi" w:cstheme="majorHAnsi"/>
          <w:b/>
          <w:bCs/>
          <w:lang w:eastAsia="ja-JP"/>
        </w:rPr>
        <w:t xml:space="preserve">Cette balise offre un beau design bi-matière, moderne et épuré </w:t>
      </w:r>
      <w:r w:rsidRPr="00867352">
        <w:rPr>
          <w:rFonts w:asciiTheme="majorHAnsi" w:hAnsiTheme="majorHAnsi" w:cstheme="majorHAnsi"/>
          <w:lang w:eastAsia="ja-JP"/>
        </w:rPr>
        <w:t>pour mettre en ambiance massifs, allées ou terrasses et</w:t>
      </w:r>
      <w:r>
        <w:rPr>
          <w:rFonts w:asciiTheme="majorHAnsi" w:hAnsiTheme="majorHAnsi" w:cstheme="majorHAnsi"/>
          <w:lang w:eastAsia="ja-JP"/>
        </w:rPr>
        <w:t xml:space="preserve"> </w:t>
      </w:r>
      <w:r w:rsidRPr="00867352">
        <w:rPr>
          <w:rFonts w:asciiTheme="majorHAnsi" w:hAnsiTheme="majorHAnsi" w:cstheme="majorHAnsi"/>
          <w:lang w:eastAsia="ja-JP"/>
        </w:rPr>
        <w:t xml:space="preserve">décliner toutes les couleurs de l’arc en ciel. La lumière </w:t>
      </w:r>
      <w:proofErr w:type="spellStart"/>
      <w:r w:rsidRPr="00867352">
        <w:rPr>
          <w:rFonts w:asciiTheme="majorHAnsi" w:hAnsiTheme="majorHAnsi" w:cstheme="majorHAnsi"/>
          <w:lang w:eastAsia="ja-JP"/>
        </w:rPr>
        <w:t>led</w:t>
      </w:r>
      <w:proofErr w:type="spellEnd"/>
      <w:r w:rsidRPr="00867352">
        <w:rPr>
          <w:rFonts w:asciiTheme="majorHAnsi" w:hAnsiTheme="majorHAnsi" w:cstheme="majorHAnsi"/>
          <w:lang w:eastAsia="ja-JP"/>
        </w:rPr>
        <w:t xml:space="preserve"> SMD se propage le long du diffuseur acrylique spiralé. Ce modèle est</w:t>
      </w:r>
      <w:r>
        <w:rPr>
          <w:rFonts w:asciiTheme="majorHAnsi" w:hAnsiTheme="majorHAnsi" w:cstheme="majorHAnsi"/>
          <w:lang w:eastAsia="ja-JP"/>
        </w:rPr>
        <w:t xml:space="preserve"> </w:t>
      </w:r>
      <w:r w:rsidRPr="00867352">
        <w:rPr>
          <w:rFonts w:asciiTheme="majorHAnsi" w:hAnsiTheme="majorHAnsi" w:cstheme="majorHAnsi"/>
          <w:b/>
          <w:bCs/>
          <w:lang w:eastAsia="ja-JP"/>
        </w:rPr>
        <w:t>doté d’une télécommande pour changer son coloris, au gré des envies</w:t>
      </w:r>
    </w:p>
    <w:p w:rsidR="00867352" w:rsidRPr="00867352" w:rsidRDefault="00867352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bCs/>
        </w:rPr>
      </w:pPr>
    </w:p>
    <w:p w:rsidR="002C128A" w:rsidRPr="00867352" w:rsidRDefault="002C128A" w:rsidP="00C31345">
      <w:pPr>
        <w:jc w:val="both"/>
        <w:rPr>
          <w:rFonts w:asciiTheme="majorHAnsi" w:hAnsiTheme="majorHAnsi" w:cstheme="majorHAnsi"/>
          <w:b/>
          <w:bCs/>
        </w:rPr>
      </w:pPr>
      <w:r w:rsidRPr="00867352">
        <w:rPr>
          <w:rFonts w:asciiTheme="majorHAnsi" w:hAnsiTheme="majorHAnsi" w:cstheme="majorHAnsi"/>
          <w:b/>
          <w:bCs/>
        </w:rPr>
        <w:t xml:space="preserve">Caractéristiques </w:t>
      </w:r>
    </w:p>
    <w:p w:rsidR="002C128A" w:rsidRDefault="002C128A" w:rsidP="00C31345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Dimensions : Ø 12 x h 26 cm.</w:t>
      </w:r>
    </w:p>
    <w:p w:rsidR="00867352" w:rsidRPr="00867352" w:rsidRDefault="00867352" w:rsidP="00C31345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  <w:r w:rsidRPr="00867352">
        <w:rPr>
          <w:rFonts w:asciiTheme="majorHAnsi" w:hAnsiTheme="majorHAnsi" w:cstheme="majorHAnsi"/>
          <w:lang w:eastAsia="ja-JP"/>
        </w:rPr>
        <w:t>Cône en résine légèrement opaque, innovant diffuseur intérieur spiralé, piètement en inox.</w:t>
      </w:r>
    </w:p>
    <w:p w:rsidR="002C128A" w:rsidRDefault="002C128A" w:rsidP="00C31345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1 LED SMD.</w:t>
      </w:r>
    </w:p>
    <w:p w:rsidR="002C128A" w:rsidRDefault="002C128A" w:rsidP="00C31345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Panneau solaire </w:t>
      </w:r>
      <w:proofErr w:type="spellStart"/>
      <w:r>
        <w:rPr>
          <w:rFonts w:ascii="Calibri" w:eastAsia="Times New Roman" w:hAnsi="Calibri" w:cs="Calibri"/>
        </w:rPr>
        <w:t>polycrystal</w:t>
      </w:r>
      <w:proofErr w:type="spellEnd"/>
      <w:r>
        <w:rPr>
          <w:rFonts w:ascii="Calibri" w:eastAsia="Times New Roman" w:hAnsi="Calibri" w:cs="Calibri"/>
        </w:rPr>
        <w:t xml:space="preserve"> 2V 160mA.</w:t>
      </w:r>
    </w:p>
    <w:p w:rsidR="002C128A" w:rsidRDefault="002C128A" w:rsidP="00C31345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Batterie rechargeable 1,2V AAA – 800 </w:t>
      </w:r>
      <w:proofErr w:type="spellStart"/>
      <w:r>
        <w:rPr>
          <w:rFonts w:ascii="Calibri" w:eastAsia="Times New Roman" w:hAnsi="Calibri" w:cs="Calibri"/>
        </w:rPr>
        <w:t>mAh</w:t>
      </w:r>
      <w:proofErr w:type="spellEnd"/>
      <w:r>
        <w:rPr>
          <w:rFonts w:ascii="Calibri" w:eastAsia="Times New Roman" w:hAnsi="Calibri" w:cs="Calibri"/>
        </w:rPr>
        <w:t xml:space="preserve"> Ni-MH.</w:t>
      </w:r>
    </w:p>
    <w:p w:rsidR="002C128A" w:rsidRDefault="002C128A" w:rsidP="00C31345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2 kits de fixation fournis, pour une utilisation sur tous sols.</w:t>
      </w:r>
    </w:p>
    <w:p w:rsidR="00867352" w:rsidRPr="00867352" w:rsidRDefault="00867352" w:rsidP="00C31345">
      <w:pPr>
        <w:numPr>
          <w:ilvl w:val="0"/>
          <w:numId w:val="5"/>
        </w:numPr>
        <w:jc w:val="both"/>
        <w:rPr>
          <w:rFonts w:asciiTheme="majorHAnsi" w:eastAsia="Times New Roman" w:hAnsiTheme="majorHAnsi" w:cstheme="majorHAnsi"/>
        </w:rPr>
      </w:pPr>
      <w:r w:rsidRPr="00867352">
        <w:rPr>
          <w:rFonts w:asciiTheme="majorHAnsi" w:eastAsia="Times New Roman" w:hAnsiTheme="majorHAnsi" w:cstheme="majorHAnsi"/>
        </w:rPr>
        <w:t xml:space="preserve">Autonomie de 5 à </w:t>
      </w:r>
      <w:r>
        <w:rPr>
          <w:rFonts w:asciiTheme="majorHAnsi" w:eastAsia="Times New Roman" w:hAnsiTheme="majorHAnsi" w:cstheme="majorHAnsi"/>
        </w:rPr>
        <w:t>6</w:t>
      </w:r>
      <w:r w:rsidRPr="00867352">
        <w:rPr>
          <w:rFonts w:asciiTheme="majorHAnsi" w:eastAsia="Times New Roman" w:hAnsiTheme="majorHAnsi" w:cstheme="majorHAnsi"/>
        </w:rPr>
        <w:t xml:space="preserve"> heures (à pleine charge).</w:t>
      </w:r>
    </w:p>
    <w:p w:rsidR="002C128A" w:rsidRDefault="002C128A" w:rsidP="00C31345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Prix public généralement constaté : </w:t>
      </w:r>
      <w:r w:rsidRPr="00320F00">
        <w:rPr>
          <w:rFonts w:ascii="Calibri" w:hAnsi="Calibri" w:cs="Calibri"/>
          <w:b/>
        </w:rPr>
        <w:t>19,90 euros</w:t>
      </w:r>
    </w:p>
    <w:p w:rsidR="00537E7D" w:rsidRDefault="00537E7D" w:rsidP="00C31345">
      <w:pPr>
        <w:jc w:val="both"/>
        <w:rPr>
          <w:rFonts w:ascii="Calibri" w:hAnsi="Calibri" w:cs="Calibri"/>
        </w:rPr>
      </w:pPr>
    </w:p>
    <w:p w:rsidR="002C128A" w:rsidRDefault="002C128A" w:rsidP="00C31345">
      <w:pPr>
        <w:jc w:val="both"/>
        <w:rPr>
          <w:rFonts w:ascii="Calibri" w:hAnsi="Calibri" w:cs="Calibri"/>
        </w:rPr>
      </w:pPr>
    </w:p>
    <w:p w:rsidR="00C31345" w:rsidRDefault="00C31345" w:rsidP="00C31345">
      <w:pPr>
        <w:jc w:val="both"/>
        <w:rPr>
          <w:rFonts w:ascii="Calibri" w:hAnsi="Calibri" w:cs="Calibri"/>
        </w:rPr>
      </w:pPr>
    </w:p>
    <w:p w:rsidR="00C31345" w:rsidRPr="00320F00" w:rsidRDefault="00C31345" w:rsidP="00C31345">
      <w:pPr>
        <w:jc w:val="both"/>
        <w:rPr>
          <w:rFonts w:ascii="Calibri" w:hAnsi="Calibri" w:cs="Calibri"/>
        </w:rPr>
      </w:pPr>
    </w:p>
    <w:p w:rsidR="009E2993" w:rsidRPr="009E2993" w:rsidRDefault="009E2993" w:rsidP="00C31345">
      <w:pPr>
        <w:jc w:val="both"/>
        <w:rPr>
          <w:rFonts w:asciiTheme="majorHAnsi" w:hAnsiTheme="majorHAnsi" w:cstheme="majorHAnsi"/>
          <w:b/>
        </w:rPr>
      </w:pPr>
      <w:r w:rsidRPr="009E2993">
        <w:rPr>
          <w:rFonts w:asciiTheme="majorHAnsi" w:hAnsiTheme="majorHAnsi" w:cstheme="majorHAnsi"/>
          <w:b/>
        </w:rPr>
        <w:t xml:space="preserve">Tous les produits sont autonomes et à énergie solaire. Ils sont disponibles en jardinerie, </w:t>
      </w:r>
      <w:proofErr w:type="spellStart"/>
      <w:r w:rsidRPr="009E2993">
        <w:rPr>
          <w:rFonts w:asciiTheme="majorHAnsi" w:hAnsiTheme="majorHAnsi" w:cstheme="majorHAnsi"/>
          <w:b/>
        </w:rPr>
        <w:t>lisas</w:t>
      </w:r>
      <w:proofErr w:type="spellEnd"/>
      <w:r w:rsidRPr="009E2993">
        <w:rPr>
          <w:rFonts w:asciiTheme="majorHAnsi" w:hAnsiTheme="majorHAnsi" w:cstheme="majorHAnsi"/>
          <w:b/>
        </w:rPr>
        <w:t xml:space="preserve"> et </w:t>
      </w:r>
      <w:proofErr w:type="spellStart"/>
      <w:r w:rsidRPr="009E2993">
        <w:rPr>
          <w:rFonts w:asciiTheme="majorHAnsi" w:hAnsiTheme="majorHAnsi" w:cstheme="majorHAnsi"/>
          <w:b/>
        </w:rPr>
        <w:t>gsb</w:t>
      </w:r>
      <w:proofErr w:type="spellEnd"/>
      <w:r w:rsidRPr="009E2993">
        <w:rPr>
          <w:rFonts w:asciiTheme="majorHAnsi" w:hAnsiTheme="majorHAnsi" w:cstheme="majorHAnsi"/>
          <w:b/>
        </w:rPr>
        <w:t xml:space="preserve"> dès février.</w:t>
      </w:r>
    </w:p>
    <w:p w:rsidR="009E2993" w:rsidRPr="009E2993" w:rsidRDefault="009E2993" w:rsidP="00C31345">
      <w:pPr>
        <w:jc w:val="both"/>
        <w:rPr>
          <w:rFonts w:asciiTheme="majorHAnsi" w:hAnsiTheme="majorHAnsi" w:cstheme="majorHAnsi"/>
        </w:rPr>
      </w:pPr>
    </w:p>
    <w:p w:rsidR="00537E7D" w:rsidRPr="009E2993" w:rsidRDefault="00537E7D" w:rsidP="00C31345">
      <w:pPr>
        <w:jc w:val="both"/>
        <w:rPr>
          <w:rFonts w:asciiTheme="majorHAnsi" w:hAnsiTheme="majorHAnsi" w:cstheme="majorHAnsi"/>
        </w:rPr>
      </w:pPr>
    </w:p>
    <w:p w:rsidR="009E2993" w:rsidRPr="00C31345" w:rsidRDefault="009E2993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iCs/>
          <w:color w:val="365F91" w:themeColor="accent1" w:themeShade="BF"/>
          <w:lang w:eastAsia="ja-JP"/>
        </w:rPr>
      </w:pPr>
      <w:r w:rsidRPr="00C31345">
        <w:rPr>
          <w:rFonts w:asciiTheme="majorHAnsi" w:hAnsiTheme="majorHAnsi" w:cstheme="majorHAnsi"/>
          <w:b/>
          <w:iCs/>
          <w:color w:val="365F91" w:themeColor="accent1" w:themeShade="BF"/>
          <w:lang w:eastAsia="ja-JP"/>
        </w:rPr>
        <w:t>AUTRES FAMILLES PRODUITS :</w:t>
      </w:r>
    </w:p>
    <w:p w:rsidR="009E2993" w:rsidRPr="00C31345" w:rsidRDefault="009E2993" w:rsidP="00C31345">
      <w:pPr>
        <w:jc w:val="both"/>
        <w:rPr>
          <w:rFonts w:asciiTheme="majorHAnsi" w:hAnsiTheme="majorHAnsi" w:cstheme="majorHAnsi"/>
          <w:color w:val="000000"/>
          <w:lang w:eastAsia="ja-JP"/>
        </w:rPr>
      </w:pPr>
      <w:r w:rsidRPr="00C31345">
        <w:rPr>
          <w:rFonts w:asciiTheme="majorHAnsi" w:hAnsiTheme="majorHAnsi" w:cstheme="majorHAnsi"/>
          <w:color w:val="000000"/>
          <w:lang w:eastAsia="ja-JP"/>
        </w:rPr>
        <w:t xml:space="preserve">Les panneaux lumineux </w:t>
      </w:r>
      <w:r w:rsidRPr="00C31345">
        <w:rPr>
          <w:rFonts w:asciiTheme="majorHAnsi" w:hAnsiTheme="majorHAnsi" w:cstheme="majorHAnsi"/>
          <w:iCs/>
          <w:color w:val="003600"/>
          <w:lang w:eastAsia="ja-JP"/>
        </w:rPr>
        <w:t>SOLART PANEL</w:t>
      </w:r>
      <w:r w:rsidRPr="00C31345">
        <w:rPr>
          <w:rFonts w:asciiTheme="majorHAnsi" w:hAnsiTheme="majorHAnsi" w:cstheme="majorHAnsi"/>
          <w:color w:val="000000"/>
          <w:lang w:eastAsia="ja-JP"/>
        </w:rPr>
        <w:t xml:space="preserve">, les guirlandes à suspendre, les lampions, les sujets décoratifs, les photophores </w:t>
      </w:r>
      <w:proofErr w:type="spellStart"/>
      <w:r w:rsidRPr="00C31345">
        <w:rPr>
          <w:rFonts w:asciiTheme="majorHAnsi" w:hAnsiTheme="majorHAnsi" w:cstheme="majorHAnsi"/>
          <w:color w:val="000000"/>
          <w:lang w:eastAsia="ja-JP"/>
        </w:rPr>
        <w:t>led</w:t>
      </w:r>
      <w:proofErr w:type="spellEnd"/>
      <w:r w:rsidRPr="00C31345">
        <w:rPr>
          <w:rFonts w:asciiTheme="majorHAnsi" w:hAnsiTheme="majorHAnsi" w:cstheme="majorHAnsi"/>
          <w:color w:val="000000"/>
          <w:lang w:eastAsia="ja-JP"/>
        </w:rPr>
        <w:t>...</w:t>
      </w:r>
    </w:p>
    <w:p w:rsidR="009E2993" w:rsidRPr="00C31345" w:rsidRDefault="009E2993" w:rsidP="00C31345">
      <w:pPr>
        <w:jc w:val="both"/>
        <w:rPr>
          <w:rFonts w:asciiTheme="majorHAnsi" w:hAnsiTheme="majorHAnsi" w:cstheme="majorHAnsi"/>
          <w:color w:val="000000"/>
          <w:lang w:eastAsia="ja-JP"/>
        </w:rPr>
      </w:pPr>
    </w:p>
    <w:p w:rsidR="00245035" w:rsidRPr="00C31345" w:rsidRDefault="00245035" w:rsidP="00C31345">
      <w:pPr>
        <w:jc w:val="both"/>
        <w:rPr>
          <w:rFonts w:asciiTheme="majorHAnsi" w:hAnsiTheme="majorHAnsi" w:cstheme="majorHAnsi"/>
        </w:rPr>
      </w:pPr>
    </w:p>
    <w:p w:rsidR="00245035" w:rsidRPr="00C31345" w:rsidRDefault="00245035" w:rsidP="00C31345">
      <w:pPr>
        <w:jc w:val="both"/>
        <w:rPr>
          <w:rFonts w:asciiTheme="majorHAnsi" w:hAnsiTheme="majorHAnsi" w:cstheme="majorHAnsi"/>
        </w:rPr>
      </w:pPr>
      <w:r w:rsidRPr="00C31345">
        <w:rPr>
          <w:rFonts w:asciiTheme="majorHAnsi" w:hAnsiTheme="majorHAnsi" w:cstheme="majorHAnsi"/>
        </w:rPr>
        <w:t>Pour plus d’informations</w:t>
      </w:r>
      <w:r w:rsidR="005E6CBB" w:rsidRPr="00C31345">
        <w:rPr>
          <w:rFonts w:asciiTheme="majorHAnsi" w:hAnsiTheme="majorHAnsi" w:cstheme="majorHAnsi"/>
        </w:rPr>
        <w:t xml:space="preserve"> : </w:t>
      </w:r>
      <w:hyperlink r:id="rId5" w:history="1">
        <w:r w:rsidR="003A3E45" w:rsidRPr="00C31345">
          <w:rPr>
            <w:rStyle w:val="Lienhypertexte"/>
            <w:rFonts w:asciiTheme="majorHAnsi" w:hAnsiTheme="majorHAnsi" w:cstheme="majorHAnsi"/>
          </w:rPr>
          <w:t>www.nortene.com</w:t>
        </w:r>
      </w:hyperlink>
      <w:r w:rsidR="003A3E45" w:rsidRPr="00C31345">
        <w:rPr>
          <w:rFonts w:asciiTheme="majorHAnsi" w:hAnsiTheme="majorHAnsi" w:cstheme="majorHAnsi"/>
        </w:rPr>
        <w:t xml:space="preserve"> </w:t>
      </w:r>
    </w:p>
    <w:p w:rsidR="00245035" w:rsidRPr="00C31345" w:rsidRDefault="00245035" w:rsidP="00C31345">
      <w:pPr>
        <w:jc w:val="both"/>
        <w:rPr>
          <w:rFonts w:asciiTheme="majorHAnsi" w:hAnsiTheme="majorHAnsi" w:cstheme="majorHAnsi"/>
        </w:rPr>
      </w:pPr>
    </w:p>
    <w:p w:rsidR="005E6CBB" w:rsidRPr="00C31345" w:rsidRDefault="005E6CBB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  <w:r w:rsidRPr="00C31345">
        <w:rPr>
          <w:rFonts w:asciiTheme="majorHAnsi" w:hAnsiTheme="majorHAnsi" w:cstheme="majorHAnsi"/>
          <w:b/>
          <w:bCs/>
          <w:lang w:eastAsia="ja-JP"/>
        </w:rPr>
        <w:t xml:space="preserve">Contact marque : </w:t>
      </w:r>
      <w:r w:rsidRPr="00C31345">
        <w:rPr>
          <w:rFonts w:asciiTheme="majorHAnsi" w:hAnsiTheme="majorHAnsi" w:cstheme="majorHAnsi"/>
          <w:lang w:eastAsia="ja-JP"/>
        </w:rPr>
        <w:t>Véronique ROUE</w:t>
      </w:r>
    </w:p>
    <w:p w:rsidR="005E6CBB" w:rsidRPr="00C31345" w:rsidRDefault="00E60F44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  <w:hyperlink r:id="rId6" w:history="1">
        <w:r w:rsidR="005E6CBB" w:rsidRPr="00C31345">
          <w:rPr>
            <w:rStyle w:val="Lienhypertexte"/>
            <w:rFonts w:asciiTheme="majorHAnsi" w:hAnsiTheme="majorHAnsi" w:cstheme="majorHAnsi"/>
            <w:lang w:eastAsia="ja-JP"/>
          </w:rPr>
          <w:t>vroue@intermasgroup.com</w:t>
        </w:r>
      </w:hyperlink>
      <w:r w:rsidR="005E6CBB" w:rsidRPr="00C31345">
        <w:rPr>
          <w:rFonts w:asciiTheme="majorHAnsi" w:hAnsiTheme="majorHAnsi" w:cstheme="majorHAnsi"/>
          <w:lang w:eastAsia="ja-JP"/>
        </w:rPr>
        <w:t xml:space="preserve">  -  </w:t>
      </w:r>
      <w:proofErr w:type="spellStart"/>
      <w:r w:rsidR="005E6CBB" w:rsidRPr="00C31345">
        <w:rPr>
          <w:rFonts w:asciiTheme="majorHAnsi" w:eastAsia="Times New Roman" w:hAnsiTheme="majorHAnsi" w:cstheme="majorHAnsi"/>
          <w:lang w:val="en-US"/>
        </w:rPr>
        <w:t>Tél</w:t>
      </w:r>
      <w:proofErr w:type="spellEnd"/>
      <w:r w:rsidR="005E6CBB" w:rsidRPr="00C31345">
        <w:rPr>
          <w:rFonts w:asciiTheme="majorHAnsi" w:eastAsia="Times New Roman" w:hAnsiTheme="majorHAnsi" w:cstheme="majorHAnsi"/>
          <w:lang w:val="en-US"/>
        </w:rPr>
        <w:t xml:space="preserve">. </w:t>
      </w:r>
      <w:r w:rsidR="005E6CBB" w:rsidRPr="00C31345">
        <w:rPr>
          <w:rFonts w:asciiTheme="majorHAnsi" w:hAnsiTheme="majorHAnsi" w:cstheme="majorHAnsi"/>
          <w:lang w:eastAsia="ja-JP"/>
        </w:rPr>
        <w:t xml:space="preserve">02 43 64 14 </w:t>
      </w:r>
      <w:proofErr w:type="spellStart"/>
      <w:r w:rsidR="005E6CBB" w:rsidRPr="00C31345">
        <w:rPr>
          <w:rFonts w:asciiTheme="majorHAnsi" w:hAnsiTheme="majorHAnsi" w:cstheme="majorHAnsi"/>
          <w:lang w:eastAsia="ja-JP"/>
        </w:rPr>
        <w:t>14</w:t>
      </w:r>
      <w:proofErr w:type="spellEnd"/>
    </w:p>
    <w:p w:rsidR="005E6CBB" w:rsidRPr="00C31345" w:rsidRDefault="00C31345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  <w:r w:rsidRPr="00C31345">
        <w:rPr>
          <w:rFonts w:asciiTheme="majorHAnsi" w:hAnsiTheme="majorHAnsi" w:cstheme="majorHAnsi"/>
          <w:lang w:eastAsia="ja-JP"/>
        </w:rPr>
        <w:t>13 rue de la Libération - BALLÉE – 53340 VAL-DU-MAINE</w:t>
      </w:r>
    </w:p>
    <w:p w:rsidR="00C31345" w:rsidRPr="00C31345" w:rsidRDefault="00C31345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</w:p>
    <w:p w:rsidR="005E6CBB" w:rsidRPr="00C31345" w:rsidRDefault="005E6CBB" w:rsidP="00C31345">
      <w:pPr>
        <w:jc w:val="both"/>
        <w:rPr>
          <w:rFonts w:asciiTheme="majorHAnsi" w:eastAsia="Times New Roman" w:hAnsiTheme="majorHAnsi" w:cstheme="majorHAnsi"/>
          <w:lang w:val="en-US"/>
        </w:rPr>
      </w:pPr>
      <w:r w:rsidRPr="00C31345">
        <w:rPr>
          <w:rFonts w:asciiTheme="majorHAnsi" w:eastAsia="Times New Roman" w:hAnsiTheme="majorHAnsi" w:cstheme="majorHAnsi"/>
          <w:b/>
          <w:bCs/>
          <w:lang w:val="en-US"/>
        </w:rPr>
        <w:t xml:space="preserve">Contact </w:t>
      </w:r>
      <w:proofErr w:type="spellStart"/>
      <w:proofErr w:type="gramStart"/>
      <w:r w:rsidRPr="00C31345">
        <w:rPr>
          <w:rFonts w:asciiTheme="majorHAnsi" w:eastAsia="Times New Roman" w:hAnsiTheme="majorHAnsi" w:cstheme="majorHAnsi"/>
          <w:b/>
          <w:bCs/>
          <w:lang w:val="en-US"/>
        </w:rPr>
        <w:t>presse</w:t>
      </w:r>
      <w:proofErr w:type="spellEnd"/>
      <w:r w:rsidRPr="00C31345">
        <w:rPr>
          <w:rFonts w:asciiTheme="majorHAnsi" w:eastAsia="Times New Roman" w:hAnsiTheme="majorHAnsi" w:cstheme="majorHAnsi"/>
          <w:b/>
          <w:bCs/>
          <w:lang w:val="en-US"/>
        </w:rPr>
        <w:t xml:space="preserve"> :</w:t>
      </w:r>
      <w:proofErr w:type="gramEnd"/>
      <w:r w:rsidRPr="00C31345">
        <w:rPr>
          <w:rFonts w:asciiTheme="majorHAnsi" w:eastAsia="Times New Roman" w:hAnsiTheme="majorHAnsi" w:cstheme="majorHAnsi"/>
          <w:lang w:val="en-US"/>
        </w:rPr>
        <w:t xml:space="preserve"> Catherine Amsterdam </w:t>
      </w:r>
    </w:p>
    <w:p w:rsidR="005E6CBB" w:rsidRPr="00C31345" w:rsidRDefault="00E60F44" w:rsidP="00C31345">
      <w:pPr>
        <w:jc w:val="both"/>
        <w:rPr>
          <w:rFonts w:asciiTheme="majorHAnsi" w:eastAsia="Times New Roman" w:hAnsiTheme="majorHAnsi" w:cstheme="majorHAnsi"/>
          <w:lang w:val="en-US"/>
        </w:rPr>
      </w:pPr>
      <w:hyperlink r:id="rId7" w:history="1">
        <w:r w:rsidR="005E6CBB" w:rsidRPr="00C31345">
          <w:rPr>
            <w:rFonts w:asciiTheme="majorHAnsi" w:eastAsia="Times New Roman" w:hAnsiTheme="majorHAnsi" w:cstheme="majorHAnsi"/>
            <w:color w:val="0000FF"/>
            <w:u w:val="single"/>
            <w:lang w:val="en-US"/>
          </w:rPr>
          <w:t>ca@amsterdamcommunication.fr</w:t>
        </w:r>
      </w:hyperlink>
      <w:r w:rsidR="005E6CBB" w:rsidRPr="00C31345">
        <w:rPr>
          <w:rFonts w:asciiTheme="majorHAnsi" w:eastAsia="Times New Roman" w:hAnsiTheme="majorHAnsi" w:cstheme="majorHAnsi"/>
        </w:rPr>
        <w:t xml:space="preserve"> </w:t>
      </w:r>
      <w:r w:rsidR="005E6CBB" w:rsidRPr="00C31345">
        <w:rPr>
          <w:rFonts w:asciiTheme="majorHAnsi" w:eastAsia="Times New Roman" w:hAnsiTheme="majorHAnsi" w:cstheme="majorHAnsi"/>
          <w:lang w:val="en-US"/>
        </w:rPr>
        <w:t xml:space="preserve"> </w:t>
      </w:r>
      <w:proofErr w:type="gramStart"/>
      <w:r w:rsidR="005E6CBB" w:rsidRPr="00C31345">
        <w:rPr>
          <w:rFonts w:asciiTheme="majorHAnsi" w:eastAsia="Times New Roman" w:hAnsiTheme="majorHAnsi" w:cstheme="majorHAnsi"/>
          <w:lang w:val="en-US"/>
        </w:rPr>
        <w:t xml:space="preserve">-  </w:t>
      </w:r>
      <w:proofErr w:type="spellStart"/>
      <w:r w:rsidR="005E6CBB" w:rsidRPr="00C31345">
        <w:rPr>
          <w:rFonts w:asciiTheme="majorHAnsi" w:eastAsia="Times New Roman" w:hAnsiTheme="majorHAnsi" w:cstheme="majorHAnsi"/>
          <w:lang w:val="en-US"/>
        </w:rPr>
        <w:t>Tél</w:t>
      </w:r>
      <w:proofErr w:type="spellEnd"/>
      <w:proofErr w:type="gramEnd"/>
      <w:r w:rsidR="005E6CBB" w:rsidRPr="00C31345">
        <w:rPr>
          <w:rFonts w:asciiTheme="majorHAnsi" w:eastAsia="Times New Roman" w:hAnsiTheme="majorHAnsi" w:cstheme="majorHAnsi"/>
          <w:lang w:val="en-US"/>
        </w:rPr>
        <w:t>. 02 43 94 01 71</w:t>
      </w:r>
    </w:p>
    <w:p w:rsidR="005E6CBB" w:rsidRPr="00C31345" w:rsidRDefault="005E6CBB" w:rsidP="00C31345">
      <w:pPr>
        <w:jc w:val="both"/>
        <w:rPr>
          <w:rFonts w:asciiTheme="majorHAnsi" w:eastAsia="Times New Roman" w:hAnsiTheme="majorHAnsi" w:cstheme="majorHAnsi"/>
          <w:lang w:val="en-US"/>
        </w:rPr>
      </w:pPr>
      <w:r w:rsidRPr="00C31345">
        <w:rPr>
          <w:rFonts w:asciiTheme="majorHAnsi" w:eastAsia="Times New Roman" w:hAnsiTheme="majorHAnsi" w:cstheme="majorHAnsi"/>
          <w:lang w:val="en-US"/>
        </w:rPr>
        <w:t> </w:t>
      </w:r>
    </w:p>
    <w:p w:rsidR="005E6CBB" w:rsidRPr="00C31345" w:rsidRDefault="005E6CBB" w:rsidP="00C31345">
      <w:pPr>
        <w:jc w:val="both"/>
        <w:rPr>
          <w:rFonts w:asciiTheme="majorHAnsi" w:hAnsiTheme="majorHAnsi" w:cstheme="majorHAnsi"/>
        </w:rPr>
      </w:pPr>
      <w:r w:rsidRPr="00C31345">
        <w:rPr>
          <w:rFonts w:asciiTheme="majorHAnsi" w:eastAsia="Times New Roman" w:hAnsiTheme="majorHAnsi" w:cstheme="majorHAnsi"/>
        </w:rPr>
        <w:t xml:space="preserve">Téléchargement du dossier et des visuels HD sur la salle de presse de l’agence Amsterdam Communication : </w:t>
      </w:r>
      <w:hyperlink r:id="rId8" w:history="1">
        <w:r w:rsidRPr="00C31345">
          <w:rPr>
            <w:rStyle w:val="Lienhypertexte"/>
            <w:rFonts w:asciiTheme="majorHAnsi" w:eastAsia="Times New Roman" w:hAnsiTheme="majorHAnsi" w:cstheme="majorHAnsi"/>
          </w:rPr>
          <w:t>www.amsterdamcommunication.fr/presse/accueil.html</w:t>
        </w:r>
      </w:hyperlink>
      <w:r w:rsidRPr="00C31345">
        <w:rPr>
          <w:rFonts w:asciiTheme="majorHAnsi" w:eastAsia="Times New Roman" w:hAnsiTheme="majorHAnsi" w:cstheme="majorHAnsi"/>
        </w:rPr>
        <w:t xml:space="preserve"> </w:t>
      </w:r>
    </w:p>
    <w:p w:rsidR="00C05CF8" w:rsidRPr="00C31345" w:rsidRDefault="00C05CF8" w:rsidP="00C31345">
      <w:pPr>
        <w:jc w:val="both"/>
        <w:rPr>
          <w:rFonts w:asciiTheme="majorHAnsi" w:hAnsiTheme="majorHAnsi" w:cstheme="majorHAnsi"/>
        </w:rPr>
      </w:pPr>
    </w:p>
    <w:sectPr w:rsidR="00C05CF8" w:rsidRPr="00C31345" w:rsidSect="002C128A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5576E"/>
    <w:multiLevelType w:val="hybridMultilevel"/>
    <w:tmpl w:val="D06AFE1A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DB6858"/>
    <w:multiLevelType w:val="hybridMultilevel"/>
    <w:tmpl w:val="804E9F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9C60CD"/>
    <w:multiLevelType w:val="hybridMultilevel"/>
    <w:tmpl w:val="C2ACDE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ED271E"/>
    <w:multiLevelType w:val="hybridMultilevel"/>
    <w:tmpl w:val="EBA83A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6F727E"/>
    <w:multiLevelType w:val="hybridMultilevel"/>
    <w:tmpl w:val="1C78906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C35C39"/>
    <w:multiLevelType w:val="hybridMultilevel"/>
    <w:tmpl w:val="867A81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76EEC"/>
    <w:multiLevelType w:val="hybridMultilevel"/>
    <w:tmpl w:val="22B272CE"/>
    <w:lvl w:ilvl="0" w:tplc="5FAEEB18">
      <w:start w:val="1"/>
      <w:numFmt w:val="bullet"/>
      <w:lvlText w:val="›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7C6512"/>
    <w:multiLevelType w:val="hybridMultilevel"/>
    <w:tmpl w:val="5EFE94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C05CF8"/>
    <w:rsid w:val="000009BB"/>
    <w:rsid w:val="00004267"/>
    <w:rsid w:val="00015311"/>
    <w:rsid w:val="00031E2B"/>
    <w:rsid w:val="000E580F"/>
    <w:rsid w:val="00126A47"/>
    <w:rsid w:val="00140226"/>
    <w:rsid w:val="001673EA"/>
    <w:rsid w:val="00171F8B"/>
    <w:rsid w:val="001E553D"/>
    <w:rsid w:val="0022644A"/>
    <w:rsid w:val="00245035"/>
    <w:rsid w:val="002475DF"/>
    <w:rsid w:val="00282786"/>
    <w:rsid w:val="00297062"/>
    <w:rsid w:val="002A130A"/>
    <w:rsid w:val="002C128A"/>
    <w:rsid w:val="002C1293"/>
    <w:rsid w:val="0031051A"/>
    <w:rsid w:val="00320F00"/>
    <w:rsid w:val="00322286"/>
    <w:rsid w:val="0032685D"/>
    <w:rsid w:val="00351C74"/>
    <w:rsid w:val="003A3E45"/>
    <w:rsid w:val="00403E85"/>
    <w:rsid w:val="0042378E"/>
    <w:rsid w:val="0042741C"/>
    <w:rsid w:val="004B0E73"/>
    <w:rsid w:val="004C4B4F"/>
    <w:rsid w:val="00515474"/>
    <w:rsid w:val="00534A75"/>
    <w:rsid w:val="00536289"/>
    <w:rsid w:val="00537E7D"/>
    <w:rsid w:val="005964B3"/>
    <w:rsid w:val="005B3C2A"/>
    <w:rsid w:val="005C2C5C"/>
    <w:rsid w:val="005E582F"/>
    <w:rsid w:val="005E6CBB"/>
    <w:rsid w:val="005F11FC"/>
    <w:rsid w:val="00691DCF"/>
    <w:rsid w:val="00735CC1"/>
    <w:rsid w:val="0073731B"/>
    <w:rsid w:val="007B4E3F"/>
    <w:rsid w:val="007D31F3"/>
    <w:rsid w:val="00802A67"/>
    <w:rsid w:val="00867352"/>
    <w:rsid w:val="008A2ACD"/>
    <w:rsid w:val="009E2993"/>
    <w:rsid w:val="00A261EE"/>
    <w:rsid w:val="00AC4575"/>
    <w:rsid w:val="00B51A01"/>
    <w:rsid w:val="00B739CC"/>
    <w:rsid w:val="00B841CF"/>
    <w:rsid w:val="00C05CF8"/>
    <w:rsid w:val="00C13226"/>
    <w:rsid w:val="00C31345"/>
    <w:rsid w:val="00C3742F"/>
    <w:rsid w:val="00C87920"/>
    <w:rsid w:val="00D03DC3"/>
    <w:rsid w:val="00D10A3C"/>
    <w:rsid w:val="00D87F1A"/>
    <w:rsid w:val="00E2676F"/>
    <w:rsid w:val="00E366A2"/>
    <w:rsid w:val="00E60F44"/>
    <w:rsid w:val="00E610A7"/>
    <w:rsid w:val="00FB2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267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61EE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E2676F"/>
  </w:style>
  <w:style w:type="character" w:styleId="Lienhypertexte">
    <w:name w:val="Hyperlink"/>
    <w:basedOn w:val="Policepardfaut"/>
    <w:uiPriority w:val="99"/>
    <w:unhideWhenUsed/>
    <w:rsid w:val="005E6C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61EE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E267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0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sterdamcommunication.fr/presse/accueil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a@amsterdamcommunication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roue@intermasgroup.com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nortene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635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AMSTERDAM</dc:creator>
  <cp:lastModifiedBy>Utilisateur</cp:lastModifiedBy>
  <cp:revision>3</cp:revision>
  <dcterms:created xsi:type="dcterms:W3CDTF">2019-03-06T08:57:00Z</dcterms:created>
  <dcterms:modified xsi:type="dcterms:W3CDTF">2019-03-06T08:58:00Z</dcterms:modified>
</cp:coreProperties>
</file>